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8A4" w:rsidRDefault="002A38A4" w:rsidP="001E2F1B">
      <w:pPr>
        <w:spacing w:line="240" w:lineRule="auto"/>
        <w:jc w:val="center"/>
        <w:rPr>
          <w:rFonts w:ascii="Arial" w:hAnsi="Arial" w:cs="Arial"/>
          <w:b/>
          <w:sz w:val="28"/>
          <w:szCs w:val="28"/>
        </w:rPr>
      </w:pPr>
      <w:r>
        <w:rPr>
          <w:rFonts w:ascii="Arial" w:hAnsi="Arial" w:cs="Arial"/>
          <w:b/>
          <w:sz w:val="28"/>
          <w:szCs w:val="28"/>
        </w:rPr>
        <w:t>Columbia River System Operations</w:t>
      </w:r>
    </w:p>
    <w:p w:rsidR="001E2F1B" w:rsidRPr="001E2F1B" w:rsidRDefault="002A38A4" w:rsidP="001E2F1B">
      <w:pPr>
        <w:spacing w:line="240" w:lineRule="auto"/>
        <w:jc w:val="center"/>
        <w:rPr>
          <w:rFonts w:ascii="Arial" w:hAnsi="Arial" w:cs="Arial"/>
          <w:b/>
          <w:sz w:val="24"/>
          <w:szCs w:val="28"/>
        </w:rPr>
      </w:pPr>
      <w:r>
        <w:rPr>
          <w:rFonts w:ascii="Arial" w:hAnsi="Arial" w:cs="Arial"/>
          <w:b/>
          <w:sz w:val="28"/>
          <w:szCs w:val="28"/>
        </w:rPr>
        <w:t>Environmental Impact Statement</w:t>
      </w:r>
      <w:r w:rsidR="001E2F1B">
        <w:rPr>
          <w:rFonts w:ascii="Arial" w:hAnsi="Arial" w:cs="Arial"/>
          <w:b/>
          <w:sz w:val="24"/>
          <w:szCs w:val="28"/>
        </w:rPr>
        <w:br/>
      </w:r>
    </w:p>
    <w:p w:rsidR="00AB43DD" w:rsidRPr="001E2F1B" w:rsidRDefault="00AB43DD"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1E2F1B" w:rsidTr="007C6093">
        <w:trPr>
          <w:trHeight w:val="432"/>
        </w:trPr>
        <w:tc>
          <w:tcPr>
            <w:tcW w:w="2695" w:type="dxa"/>
            <w:vAlign w:val="center"/>
          </w:tcPr>
          <w:p w:rsidR="00AB43DD" w:rsidRPr="009C3B33" w:rsidRDefault="007C6093" w:rsidP="00423E4E">
            <w:pPr>
              <w:rPr>
                <w:rFonts w:ascii="Arial" w:hAnsi="Arial" w:cs="Arial"/>
                <w:b/>
                <w:szCs w:val="24"/>
              </w:rPr>
            </w:pPr>
            <w:r w:rsidRPr="009C3B33">
              <w:rPr>
                <w:rFonts w:ascii="Arial" w:hAnsi="Arial" w:cs="Arial"/>
                <w:b/>
                <w:szCs w:val="24"/>
              </w:rPr>
              <w:t>P2 Identifier</w:t>
            </w:r>
          </w:p>
        </w:tc>
        <w:tc>
          <w:tcPr>
            <w:tcW w:w="6655" w:type="dxa"/>
            <w:vAlign w:val="center"/>
          </w:tcPr>
          <w:p w:rsidR="00AB43DD" w:rsidRPr="009C3B33" w:rsidRDefault="002A38A4" w:rsidP="00423E4E">
            <w:pPr>
              <w:rPr>
                <w:rFonts w:ascii="Arial" w:hAnsi="Arial" w:cs="Arial"/>
                <w:szCs w:val="24"/>
              </w:rPr>
            </w:pPr>
            <w:r>
              <w:rPr>
                <w:rFonts w:ascii="Arial" w:hAnsi="Arial" w:cs="Arial"/>
                <w:szCs w:val="24"/>
              </w:rPr>
              <w:t>N/A</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Project Manager (PM)</w:t>
            </w:r>
          </w:p>
        </w:tc>
        <w:tc>
          <w:tcPr>
            <w:tcW w:w="6655" w:type="dxa"/>
            <w:vAlign w:val="center"/>
          </w:tcPr>
          <w:p w:rsidR="00AB43DD" w:rsidRPr="009C3B33" w:rsidRDefault="002A38A4" w:rsidP="002A38A4">
            <w:pPr>
              <w:rPr>
                <w:rFonts w:ascii="Arial" w:hAnsi="Arial" w:cs="Arial"/>
                <w:szCs w:val="24"/>
              </w:rPr>
            </w:pPr>
            <w:r>
              <w:rPr>
                <w:rFonts w:ascii="Arial" w:hAnsi="Arial" w:cs="Arial"/>
                <w:szCs w:val="24"/>
              </w:rPr>
              <w:t>Amy Gibbons</w:t>
            </w:r>
            <w:r w:rsidR="00867EFA" w:rsidRPr="009C3B33">
              <w:rPr>
                <w:rFonts w:ascii="Arial" w:hAnsi="Arial" w:cs="Arial"/>
                <w:szCs w:val="24"/>
              </w:rPr>
              <w:t xml:space="preserve">  (NWP, 503-808-47</w:t>
            </w:r>
            <w:r w:rsidR="001A1126" w:rsidRPr="009C3B33">
              <w:rPr>
                <w:rFonts w:ascii="Arial" w:hAnsi="Arial" w:cs="Arial"/>
                <w:szCs w:val="24"/>
              </w:rPr>
              <w:t>0</w:t>
            </w:r>
            <w:r>
              <w:rPr>
                <w:rFonts w:ascii="Arial" w:hAnsi="Arial" w:cs="Arial"/>
                <w:szCs w:val="24"/>
              </w:rPr>
              <w:t>8</w:t>
            </w:r>
            <w:r w:rsidR="00446100" w:rsidRPr="009C3B33">
              <w:rPr>
                <w:rFonts w:ascii="Arial" w:hAnsi="Arial" w:cs="Arial"/>
                <w:szCs w:val="24"/>
              </w:rPr>
              <w:t>)</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Technical Lead (TL)</w:t>
            </w:r>
          </w:p>
        </w:tc>
        <w:tc>
          <w:tcPr>
            <w:tcW w:w="6655" w:type="dxa"/>
            <w:vAlign w:val="center"/>
          </w:tcPr>
          <w:p w:rsidR="00AB43DD" w:rsidRPr="009C3B33" w:rsidRDefault="002A38A4" w:rsidP="00423E4E">
            <w:pPr>
              <w:rPr>
                <w:rFonts w:ascii="Arial" w:hAnsi="Arial" w:cs="Arial"/>
                <w:szCs w:val="24"/>
              </w:rPr>
            </w:pPr>
            <w:r>
              <w:rPr>
                <w:rFonts w:ascii="Arial" w:hAnsi="Arial" w:cs="Arial"/>
                <w:szCs w:val="24"/>
              </w:rPr>
              <w:t>N/A</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Biologist</w:t>
            </w:r>
            <w:r w:rsidR="00446100" w:rsidRPr="009C3B33">
              <w:rPr>
                <w:rFonts w:ascii="Arial" w:hAnsi="Arial" w:cs="Arial"/>
                <w:b/>
                <w:szCs w:val="24"/>
              </w:rPr>
              <w:t>/Coordination</w:t>
            </w:r>
          </w:p>
        </w:tc>
        <w:tc>
          <w:tcPr>
            <w:tcW w:w="6655" w:type="dxa"/>
            <w:vAlign w:val="center"/>
          </w:tcPr>
          <w:p w:rsidR="00AB43DD" w:rsidRPr="009C3B33" w:rsidRDefault="002A38A4" w:rsidP="00423E4E">
            <w:pPr>
              <w:rPr>
                <w:rFonts w:ascii="Arial" w:hAnsi="Arial" w:cs="Arial"/>
                <w:szCs w:val="24"/>
              </w:rPr>
            </w:pPr>
            <w:r>
              <w:rPr>
                <w:rFonts w:ascii="Arial" w:hAnsi="Arial" w:cs="Arial"/>
                <w:szCs w:val="24"/>
              </w:rPr>
              <w:t>N/A</w:t>
            </w:r>
          </w:p>
        </w:tc>
      </w:tr>
    </w:tbl>
    <w:p w:rsidR="007C6093" w:rsidRPr="001E2F1B" w:rsidRDefault="007C6093" w:rsidP="00423E4E">
      <w:pPr>
        <w:spacing w:line="240" w:lineRule="auto"/>
        <w:rPr>
          <w:rFonts w:ascii="Arial" w:hAnsi="Arial" w:cs="Arial"/>
          <w:sz w:val="24"/>
          <w:szCs w:val="24"/>
        </w:rPr>
      </w:pPr>
    </w:p>
    <w:p w:rsidR="00446100" w:rsidRPr="001E2F1B" w:rsidRDefault="00643AD3"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PURPOSE</w:t>
      </w:r>
    </w:p>
    <w:p w:rsidR="00643AD3" w:rsidRPr="001E2F1B" w:rsidRDefault="00643AD3" w:rsidP="00423E4E">
      <w:pPr>
        <w:pStyle w:val="Default"/>
        <w:rPr>
          <w:color w:val="auto"/>
          <w:sz w:val="22"/>
        </w:rPr>
      </w:pPr>
      <w:r w:rsidRPr="001E2F1B">
        <w:rPr>
          <w:sz w:val="22"/>
        </w:rPr>
        <w:t xml:space="preserve">The purpose of this project is </w:t>
      </w:r>
      <w:r w:rsidR="002A38A4">
        <w:rPr>
          <w:sz w:val="22"/>
        </w:rPr>
        <w:t>complete a review of the operations and configurations of 14 federal projects of the Columbia River System, develop alternatives, complete impact analysis of alternatives and document these impacts in an Environmental Impact Statement.</w:t>
      </w:r>
    </w:p>
    <w:p w:rsidR="00643AD3" w:rsidRPr="001E2F1B" w:rsidRDefault="00643AD3" w:rsidP="00423E4E">
      <w:pPr>
        <w:pStyle w:val="Default"/>
        <w:ind w:left="720"/>
        <w:rPr>
          <w:color w:val="auto"/>
        </w:rPr>
      </w:pPr>
    </w:p>
    <w:p w:rsidR="00643AD3" w:rsidRPr="001E2F1B" w:rsidRDefault="00643AD3" w:rsidP="00423E4E">
      <w:pPr>
        <w:pStyle w:val="Default"/>
        <w:numPr>
          <w:ilvl w:val="0"/>
          <w:numId w:val="7"/>
        </w:numPr>
        <w:ind w:left="360"/>
        <w:rPr>
          <w:b/>
        </w:rPr>
      </w:pPr>
      <w:r w:rsidRPr="001E2F1B">
        <w:rPr>
          <w:b/>
        </w:rPr>
        <w:t>BACKGROUND</w:t>
      </w:r>
    </w:p>
    <w:p w:rsidR="00643AD3" w:rsidRPr="001E2F1B" w:rsidRDefault="00643AD3" w:rsidP="00423E4E">
      <w:pPr>
        <w:pStyle w:val="Default"/>
        <w:rPr>
          <w:b/>
        </w:rPr>
      </w:pPr>
    </w:p>
    <w:p w:rsidR="002A38A4" w:rsidRPr="002A38A4" w:rsidRDefault="002A38A4" w:rsidP="002A38A4">
      <w:pPr>
        <w:spacing w:after="0" w:line="240" w:lineRule="auto"/>
        <w:rPr>
          <w:rFonts w:ascii="Arial" w:eastAsia="Times New Roman" w:hAnsi="Arial" w:cs="Arial"/>
        </w:rPr>
      </w:pPr>
      <w:r w:rsidRPr="002A38A4">
        <w:rPr>
          <w:rFonts w:ascii="Arial" w:eastAsia="Times New Roman" w:hAnsi="Arial" w:cs="Arial"/>
        </w:rPr>
        <w:t xml:space="preserve">The Corps, BPA, and BOR (co-lead agencies) are jointly developing a comprehensive EIS, referred to as CRSO EIS, to evaluate long-term system operations and configuration of fourteen multiple purpose and related facilities that are operated as a coordinated system within the interior Columbia River basin in Idaho, Montana, Oregon, and Washington. The Corps was authorized by Congress to construct, operate and maintain 12 of these projects for flood risk management, navigation, power generation, navigation, fish and wildlife conservation, recreation, municipal and industrial water supply purposes. The Corps projects that will be addressed in the EIS include Libby, </w:t>
      </w:r>
      <w:proofErr w:type="spellStart"/>
      <w:r w:rsidRPr="002A38A4">
        <w:rPr>
          <w:rFonts w:ascii="Arial" w:eastAsia="Times New Roman" w:hAnsi="Arial" w:cs="Arial"/>
        </w:rPr>
        <w:t>Albeni</w:t>
      </w:r>
      <w:proofErr w:type="spellEnd"/>
      <w:r w:rsidRPr="002A38A4">
        <w:rPr>
          <w:rFonts w:ascii="Arial" w:eastAsia="Times New Roman" w:hAnsi="Arial" w:cs="Arial"/>
        </w:rPr>
        <w:t xml:space="preserve"> Falls, </w:t>
      </w:r>
      <w:proofErr w:type="spellStart"/>
      <w:r w:rsidRPr="002A38A4">
        <w:rPr>
          <w:rFonts w:ascii="Arial" w:eastAsia="Times New Roman" w:hAnsi="Arial" w:cs="Arial"/>
        </w:rPr>
        <w:t>Dworshak</w:t>
      </w:r>
      <w:proofErr w:type="spellEnd"/>
      <w:r w:rsidRPr="002A38A4">
        <w:rPr>
          <w:rFonts w:ascii="Arial" w:eastAsia="Times New Roman" w:hAnsi="Arial" w:cs="Arial"/>
        </w:rPr>
        <w:t xml:space="preserve">, Chief Joseph, Lower Granite, Little Goose, Lower Monumental, Ice harbor, McNary, John Day, The Dalles, and Bonneville. BOR was authorized to construct, operate and maintain two of these projects for purposes of irrigation, flood risk management, navigation, power generation, and navigation. BOR projects include Hungry Horse and Grand Coulee. BPA is responsible for marketing and transmitting the power generated by these dams. Together, these action agencies are responsible for managing the system for these various purposes, while meeting their other statutory and regulatory obligations. </w:t>
      </w:r>
    </w:p>
    <w:p w:rsidR="002A38A4" w:rsidRPr="002A38A4" w:rsidRDefault="002A38A4" w:rsidP="002A38A4">
      <w:pPr>
        <w:spacing w:after="0" w:line="240" w:lineRule="auto"/>
        <w:rPr>
          <w:rFonts w:ascii="Arial" w:eastAsia="Times New Roman" w:hAnsi="Arial" w:cs="Arial"/>
        </w:rPr>
      </w:pPr>
      <w:r w:rsidRPr="002A38A4">
        <w:rPr>
          <w:rFonts w:ascii="Arial" w:eastAsia="Times New Roman" w:hAnsi="Arial" w:cs="Arial"/>
        </w:rPr>
        <w:t> </w:t>
      </w:r>
    </w:p>
    <w:p w:rsidR="002A38A4" w:rsidRPr="002A38A4" w:rsidRDefault="002A38A4" w:rsidP="002A38A4">
      <w:pPr>
        <w:spacing w:after="0" w:line="240" w:lineRule="auto"/>
        <w:rPr>
          <w:rFonts w:ascii="Times New Roman" w:eastAsia="Times New Roman" w:hAnsi="Times New Roman" w:cs="Times New Roman"/>
          <w:sz w:val="24"/>
          <w:szCs w:val="24"/>
        </w:rPr>
      </w:pPr>
      <w:r w:rsidRPr="002A38A4">
        <w:rPr>
          <w:rFonts w:ascii="Arial" w:eastAsia="Times New Roman" w:hAnsi="Arial" w:cs="Arial"/>
        </w:rPr>
        <w:t>The project will be funded by a combination of CRFM, O&amp;M and potentially BPA direct funds. Currently, Programs and RM are in discussions about setting up a facility account to simplify financial management of a multi-stream funding scheme.</w:t>
      </w:r>
    </w:p>
    <w:p w:rsidR="00643AD3" w:rsidRPr="001E2F1B" w:rsidRDefault="00643AD3" w:rsidP="00423E4E">
      <w:pPr>
        <w:pStyle w:val="Default"/>
        <w:rPr>
          <w:color w:val="auto"/>
          <w:sz w:val="22"/>
        </w:rPr>
      </w:pPr>
    </w:p>
    <w:p w:rsidR="003B0929" w:rsidRPr="001E2F1B" w:rsidRDefault="003B0929" w:rsidP="00423E4E">
      <w:pPr>
        <w:pStyle w:val="Default"/>
        <w:rPr>
          <w:color w:val="auto"/>
        </w:rPr>
      </w:pPr>
    </w:p>
    <w:p w:rsidR="003B0929" w:rsidRPr="001E2F1B" w:rsidRDefault="003B0929"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 xml:space="preserve">STATUS </w:t>
      </w:r>
      <w:r w:rsidR="00F54234" w:rsidRPr="001E2F1B">
        <w:rPr>
          <w:rFonts w:ascii="Arial" w:hAnsi="Arial" w:cs="Arial"/>
          <w:b/>
          <w:sz w:val="24"/>
          <w:szCs w:val="24"/>
        </w:rPr>
        <w:t>&amp;</w:t>
      </w:r>
      <w:r w:rsidRPr="001E2F1B">
        <w:rPr>
          <w:rFonts w:ascii="Arial" w:hAnsi="Arial" w:cs="Arial"/>
          <w:b/>
          <w:sz w:val="24"/>
          <w:szCs w:val="24"/>
        </w:rPr>
        <w:t xml:space="preserve"> ISSUES</w:t>
      </w:r>
    </w:p>
    <w:p w:rsidR="003B0929" w:rsidRPr="001E2F1B" w:rsidRDefault="002A38A4" w:rsidP="001E2F1B">
      <w:pPr>
        <w:pStyle w:val="ListParagraph"/>
        <w:numPr>
          <w:ilvl w:val="0"/>
          <w:numId w:val="4"/>
        </w:numPr>
        <w:spacing w:line="240" w:lineRule="auto"/>
        <w:ind w:left="360"/>
        <w:rPr>
          <w:rFonts w:ascii="Arial" w:hAnsi="Arial" w:cs="Arial"/>
          <w:b/>
          <w:szCs w:val="24"/>
        </w:rPr>
      </w:pPr>
      <w:r>
        <w:rPr>
          <w:rFonts w:ascii="Arial" w:hAnsi="Arial" w:cs="Arial"/>
          <w:szCs w:val="24"/>
        </w:rPr>
        <w:t>The public scoping period ended February 7, 2017.</w:t>
      </w:r>
    </w:p>
    <w:p w:rsidR="003B0929" w:rsidRPr="001E2F1B" w:rsidRDefault="002A38A4" w:rsidP="001E2F1B">
      <w:pPr>
        <w:pStyle w:val="ListParagraph"/>
        <w:numPr>
          <w:ilvl w:val="0"/>
          <w:numId w:val="4"/>
        </w:numPr>
        <w:spacing w:line="240" w:lineRule="auto"/>
        <w:ind w:left="360"/>
        <w:rPr>
          <w:rFonts w:ascii="Arial" w:hAnsi="Arial" w:cs="Arial"/>
          <w:b/>
          <w:szCs w:val="24"/>
        </w:rPr>
      </w:pPr>
      <w:r>
        <w:rPr>
          <w:rFonts w:ascii="Arial" w:hAnsi="Arial" w:cs="Arial"/>
          <w:szCs w:val="24"/>
        </w:rPr>
        <w:t>Alternatives development is underway with an estimated completion date of August 31, 2017.</w:t>
      </w:r>
      <w:r w:rsidR="003B0929" w:rsidRPr="001E2F1B">
        <w:rPr>
          <w:rFonts w:ascii="Arial" w:hAnsi="Arial" w:cs="Arial"/>
          <w:szCs w:val="24"/>
        </w:rPr>
        <w:t xml:space="preserve">  </w:t>
      </w:r>
    </w:p>
    <w:p w:rsidR="001E2F1B" w:rsidRDefault="001E2F1B" w:rsidP="00423E4E">
      <w:pPr>
        <w:pStyle w:val="Default"/>
        <w:rPr>
          <w:color w:val="auto"/>
        </w:rPr>
      </w:pPr>
    </w:p>
    <w:p w:rsidR="001E2F1B" w:rsidRDefault="001E2F1B" w:rsidP="00423E4E">
      <w:pPr>
        <w:pStyle w:val="Default"/>
        <w:rPr>
          <w:color w:val="auto"/>
        </w:rPr>
      </w:pPr>
    </w:p>
    <w:p w:rsidR="003B0929" w:rsidRPr="001E2F1B" w:rsidRDefault="009C3B33" w:rsidP="00423E4E">
      <w:pPr>
        <w:pStyle w:val="Default"/>
        <w:numPr>
          <w:ilvl w:val="0"/>
          <w:numId w:val="7"/>
        </w:numPr>
        <w:ind w:left="360"/>
        <w:rPr>
          <w:b/>
          <w:color w:val="auto"/>
        </w:rPr>
      </w:pPr>
      <w:r>
        <w:rPr>
          <w:b/>
          <w:color w:val="auto"/>
        </w:rPr>
        <w:t>SCHEDULE &amp; COST</w:t>
      </w:r>
    </w:p>
    <w:p w:rsidR="003B0929" w:rsidRPr="001E2F1B" w:rsidRDefault="003B0929" w:rsidP="00423E4E">
      <w:pPr>
        <w:pStyle w:val="Default"/>
        <w:rPr>
          <w:b/>
          <w:color w:val="auto"/>
        </w:rPr>
      </w:pPr>
    </w:p>
    <w:tbl>
      <w:tblPr>
        <w:tblStyle w:val="TableGrid"/>
        <w:tblW w:w="0" w:type="auto"/>
        <w:tblLook w:val="04A0" w:firstRow="1" w:lastRow="0" w:firstColumn="1" w:lastColumn="0" w:noHBand="0" w:noVBand="1"/>
      </w:tblPr>
      <w:tblGrid>
        <w:gridCol w:w="1659"/>
        <w:gridCol w:w="1349"/>
        <w:gridCol w:w="6342"/>
      </w:tblGrid>
      <w:tr w:rsidR="00A37DA4" w:rsidRPr="001E2F1B" w:rsidTr="00832F67">
        <w:tc>
          <w:tcPr>
            <w:tcW w:w="1659" w:type="dxa"/>
          </w:tcPr>
          <w:p w:rsidR="00A37DA4" w:rsidRPr="001E2F1B" w:rsidRDefault="001E2F1B" w:rsidP="00423E4E">
            <w:pPr>
              <w:pStyle w:val="Default"/>
              <w:rPr>
                <w:b/>
                <w:color w:val="auto"/>
              </w:rPr>
            </w:pPr>
            <w:r>
              <w:rPr>
                <w:b/>
                <w:color w:val="auto"/>
              </w:rPr>
              <w:t>YEAR</w:t>
            </w:r>
          </w:p>
        </w:tc>
        <w:tc>
          <w:tcPr>
            <w:tcW w:w="1349" w:type="dxa"/>
          </w:tcPr>
          <w:p w:rsidR="00A37DA4" w:rsidRPr="001E2F1B" w:rsidRDefault="001E2F1B" w:rsidP="00423E4E">
            <w:pPr>
              <w:pStyle w:val="Default"/>
              <w:rPr>
                <w:b/>
                <w:color w:val="auto"/>
              </w:rPr>
            </w:pPr>
            <w:r>
              <w:rPr>
                <w:b/>
                <w:color w:val="auto"/>
              </w:rPr>
              <w:t>COST</w:t>
            </w:r>
          </w:p>
        </w:tc>
        <w:tc>
          <w:tcPr>
            <w:tcW w:w="6342" w:type="dxa"/>
          </w:tcPr>
          <w:p w:rsidR="00A37DA4" w:rsidRPr="001E2F1B" w:rsidRDefault="001E2F1B" w:rsidP="00423E4E">
            <w:pPr>
              <w:pStyle w:val="Default"/>
              <w:rPr>
                <w:b/>
                <w:color w:val="auto"/>
              </w:rPr>
            </w:pPr>
            <w:r>
              <w:rPr>
                <w:b/>
                <w:color w:val="auto"/>
              </w:rPr>
              <w:t>MAJOR ACTIVITIES</w:t>
            </w:r>
          </w:p>
        </w:tc>
      </w:tr>
      <w:tr w:rsidR="00832F67" w:rsidRPr="001E2F1B" w:rsidTr="00832F67">
        <w:tc>
          <w:tcPr>
            <w:tcW w:w="1659" w:type="dxa"/>
            <w:vAlign w:val="center"/>
          </w:tcPr>
          <w:p w:rsidR="00832F67" w:rsidRPr="001E2F1B" w:rsidRDefault="00B35ED8" w:rsidP="001E2F1B">
            <w:pPr>
              <w:pStyle w:val="Default"/>
              <w:rPr>
                <w:b/>
                <w:color w:val="auto"/>
                <w:sz w:val="22"/>
              </w:rPr>
            </w:pPr>
            <w:r>
              <w:rPr>
                <w:b/>
                <w:color w:val="auto"/>
                <w:sz w:val="22"/>
              </w:rPr>
              <w:t>FY17</w:t>
            </w:r>
            <w:r>
              <w:rPr>
                <w:b/>
                <w:color w:val="auto"/>
                <w:sz w:val="22"/>
              </w:rPr>
              <w:br/>
              <w:t>Actual Obligation</w:t>
            </w:r>
          </w:p>
        </w:tc>
        <w:tc>
          <w:tcPr>
            <w:tcW w:w="1349" w:type="dxa"/>
          </w:tcPr>
          <w:p w:rsidR="00832F67" w:rsidRPr="001E2F1B" w:rsidRDefault="00FB05C9" w:rsidP="00423E4E">
            <w:pPr>
              <w:pStyle w:val="Default"/>
              <w:rPr>
                <w:color w:val="auto"/>
                <w:sz w:val="22"/>
              </w:rPr>
            </w:pPr>
            <w:r>
              <w:rPr>
                <w:color w:val="auto"/>
                <w:sz w:val="22"/>
              </w:rPr>
              <w:t>$</w:t>
            </w:r>
            <w:r w:rsidR="002A38A4">
              <w:rPr>
                <w:color w:val="auto"/>
                <w:sz w:val="22"/>
              </w:rPr>
              <w:t>6,000</w:t>
            </w:r>
            <w:r>
              <w:rPr>
                <w:color w:val="auto"/>
                <w:sz w:val="22"/>
              </w:rPr>
              <w:t>,0</w:t>
            </w:r>
            <w:bookmarkStart w:id="0" w:name="_GoBack"/>
            <w:bookmarkEnd w:id="0"/>
            <w:r>
              <w:rPr>
                <w:color w:val="auto"/>
                <w:sz w:val="22"/>
              </w:rPr>
              <w:t>00</w:t>
            </w:r>
          </w:p>
        </w:tc>
        <w:tc>
          <w:tcPr>
            <w:tcW w:w="6342" w:type="dxa"/>
          </w:tcPr>
          <w:p w:rsidR="00832F67" w:rsidRPr="001E2F1B" w:rsidRDefault="002A38A4" w:rsidP="00423E4E">
            <w:pPr>
              <w:pStyle w:val="Default"/>
              <w:rPr>
                <w:color w:val="auto"/>
                <w:sz w:val="22"/>
              </w:rPr>
            </w:pPr>
            <w:r>
              <w:rPr>
                <w:color w:val="auto"/>
                <w:sz w:val="22"/>
              </w:rPr>
              <w:t>Complete public scoping, develop draft preliminary range of alternatives, describe No Action Alternative.</w:t>
            </w:r>
          </w:p>
        </w:tc>
      </w:tr>
      <w:tr w:rsidR="00832F67" w:rsidRPr="001E2F1B" w:rsidTr="00832F67">
        <w:tc>
          <w:tcPr>
            <w:tcW w:w="1659" w:type="dxa"/>
            <w:vAlign w:val="center"/>
          </w:tcPr>
          <w:p w:rsidR="00832F67" w:rsidRPr="001E2F1B" w:rsidRDefault="00832F67" w:rsidP="001E2F1B">
            <w:pPr>
              <w:pStyle w:val="Default"/>
              <w:rPr>
                <w:b/>
                <w:color w:val="auto"/>
                <w:sz w:val="22"/>
              </w:rPr>
            </w:pPr>
            <w:r w:rsidRPr="001E2F1B">
              <w:rPr>
                <w:b/>
                <w:color w:val="auto"/>
                <w:sz w:val="22"/>
              </w:rPr>
              <w:t>FY18</w:t>
            </w:r>
          </w:p>
          <w:p w:rsidR="00832F67" w:rsidRPr="001E2F1B" w:rsidRDefault="00832F67" w:rsidP="001E2F1B">
            <w:pPr>
              <w:pStyle w:val="Default"/>
              <w:rPr>
                <w:b/>
                <w:color w:val="auto"/>
                <w:sz w:val="22"/>
              </w:rPr>
            </w:pPr>
            <w:r w:rsidRPr="001E2F1B">
              <w:rPr>
                <w:b/>
                <w:color w:val="auto"/>
                <w:sz w:val="22"/>
              </w:rPr>
              <w:t>PBUD</w:t>
            </w:r>
          </w:p>
        </w:tc>
        <w:tc>
          <w:tcPr>
            <w:tcW w:w="1349" w:type="dxa"/>
          </w:tcPr>
          <w:p w:rsidR="00832F67" w:rsidRPr="001E2F1B" w:rsidRDefault="00FB05C9" w:rsidP="00423E4E">
            <w:pPr>
              <w:pStyle w:val="Default"/>
              <w:rPr>
                <w:color w:val="auto"/>
                <w:sz w:val="22"/>
              </w:rPr>
            </w:pPr>
            <w:r>
              <w:rPr>
                <w:color w:val="auto"/>
                <w:sz w:val="22"/>
              </w:rPr>
              <w:t>$8,601,000</w:t>
            </w:r>
          </w:p>
        </w:tc>
        <w:tc>
          <w:tcPr>
            <w:tcW w:w="6342" w:type="dxa"/>
          </w:tcPr>
          <w:p w:rsidR="00832F67" w:rsidRPr="001E2F1B" w:rsidRDefault="002A38A4" w:rsidP="009C3B33">
            <w:pPr>
              <w:pStyle w:val="Default"/>
              <w:rPr>
                <w:color w:val="auto"/>
                <w:sz w:val="22"/>
              </w:rPr>
            </w:pPr>
            <w:r>
              <w:rPr>
                <w:color w:val="auto"/>
                <w:sz w:val="22"/>
              </w:rPr>
              <w:t>Prepare alternative impact assessment.</w:t>
            </w:r>
          </w:p>
        </w:tc>
      </w:tr>
    </w:tbl>
    <w:p w:rsidR="00ED5903" w:rsidRPr="001E2F1B" w:rsidRDefault="00ED5903" w:rsidP="00423E4E">
      <w:pPr>
        <w:pStyle w:val="Default"/>
        <w:rPr>
          <w:b/>
          <w:color w:val="auto"/>
        </w:rPr>
      </w:pPr>
    </w:p>
    <w:p w:rsidR="00ED5903" w:rsidRPr="001E2F1B" w:rsidRDefault="00ED5903" w:rsidP="00423E4E">
      <w:pPr>
        <w:pStyle w:val="ListParagraph"/>
        <w:numPr>
          <w:ilvl w:val="0"/>
          <w:numId w:val="7"/>
        </w:numPr>
        <w:tabs>
          <w:tab w:val="left" w:pos="360"/>
        </w:tabs>
        <w:spacing w:line="240" w:lineRule="auto"/>
        <w:ind w:left="360"/>
        <w:rPr>
          <w:rFonts w:ascii="Arial" w:hAnsi="Arial" w:cs="Arial"/>
          <w:b/>
          <w:sz w:val="24"/>
          <w:szCs w:val="24"/>
        </w:rPr>
      </w:pPr>
      <w:r w:rsidRPr="001E2F1B">
        <w:rPr>
          <w:rFonts w:ascii="Arial" w:hAnsi="Arial" w:cs="Arial"/>
          <w:b/>
          <w:sz w:val="24"/>
          <w:szCs w:val="24"/>
        </w:rPr>
        <w:t xml:space="preserve"> </w:t>
      </w:r>
      <w:r w:rsidR="003D2255" w:rsidRPr="001E2F1B">
        <w:rPr>
          <w:rFonts w:ascii="Arial" w:hAnsi="Arial" w:cs="Arial"/>
          <w:b/>
          <w:sz w:val="24"/>
          <w:szCs w:val="24"/>
        </w:rPr>
        <w:t xml:space="preserve">PHOTOS </w:t>
      </w:r>
      <w:r w:rsidR="009C3B33">
        <w:rPr>
          <w:rFonts w:ascii="Arial" w:hAnsi="Arial" w:cs="Arial"/>
          <w:b/>
          <w:sz w:val="24"/>
          <w:szCs w:val="24"/>
        </w:rPr>
        <w:t>&amp;</w:t>
      </w:r>
      <w:r w:rsidR="003D2255" w:rsidRPr="001E2F1B">
        <w:rPr>
          <w:rFonts w:ascii="Arial" w:hAnsi="Arial" w:cs="Arial"/>
          <w:b/>
          <w:sz w:val="24"/>
          <w:szCs w:val="24"/>
        </w:rPr>
        <w:t xml:space="preserve"> DRAWINGS</w:t>
      </w:r>
    </w:p>
    <w:sectPr w:rsidR="00ED5903" w:rsidRPr="001E2F1B" w:rsidSect="00A52E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B28" w:rsidRDefault="00264B28" w:rsidP="007C6093">
      <w:pPr>
        <w:spacing w:after="0" w:line="240" w:lineRule="auto"/>
      </w:pPr>
      <w:r>
        <w:separator/>
      </w:r>
    </w:p>
  </w:endnote>
  <w:endnote w:type="continuationSeparator" w:id="0">
    <w:p w:rsidR="00264B28" w:rsidRDefault="00264B28"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B28" w:rsidRDefault="00264B28" w:rsidP="007C6093">
      <w:pPr>
        <w:spacing w:after="0" w:line="240" w:lineRule="auto"/>
      </w:pPr>
      <w:r>
        <w:separator/>
      </w:r>
    </w:p>
  </w:footnote>
  <w:footnote w:type="continuationSeparator" w:id="0">
    <w:p w:rsidR="00264B28" w:rsidRDefault="00264B28"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3" w:rsidRDefault="001E2F1B">
    <w:pPr>
      <w:pStyle w:val="Header"/>
    </w:pPr>
    <w:r>
      <w:t>CRFM PROGRAM – MULTI-YEAR PROJECT WORK PLAN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461A9"/>
    <w:rsid w:val="000708CA"/>
    <w:rsid w:val="000A3585"/>
    <w:rsid w:val="000C121B"/>
    <w:rsid w:val="000D67E7"/>
    <w:rsid w:val="000E269F"/>
    <w:rsid w:val="001043CB"/>
    <w:rsid w:val="00111815"/>
    <w:rsid w:val="00135748"/>
    <w:rsid w:val="0014611E"/>
    <w:rsid w:val="001A1126"/>
    <w:rsid w:val="001A657A"/>
    <w:rsid w:val="001C5090"/>
    <w:rsid w:val="001E2F1B"/>
    <w:rsid w:val="00243624"/>
    <w:rsid w:val="00262421"/>
    <w:rsid w:val="00264B28"/>
    <w:rsid w:val="002A38A4"/>
    <w:rsid w:val="002E1449"/>
    <w:rsid w:val="002F404A"/>
    <w:rsid w:val="0030041C"/>
    <w:rsid w:val="0030674D"/>
    <w:rsid w:val="00322958"/>
    <w:rsid w:val="00356D4B"/>
    <w:rsid w:val="003B0929"/>
    <w:rsid w:val="003D2255"/>
    <w:rsid w:val="00407629"/>
    <w:rsid w:val="00423E4E"/>
    <w:rsid w:val="00432435"/>
    <w:rsid w:val="00446100"/>
    <w:rsid w:val="0047768A"/>
    <w:rsid w:val="004813B5"/>
    <w:rsid w:val="004B09F7"/>
    <w:rsid w:val="004B7D45"/>
    <w:rsid w:val="004C3C42"/>
    <w:rsid w:val="004D7DAB"/>
    <w:rsid w:val="004F2147"/>
    <w:rsid w:val="004F71E9"/>
    <w:rsid w:val="005139D7"/>
    <w:rsid w:val="00540970"/>
    <w:rsid w:val="005666F3"/>
    <w:rsid w:val="005942EE"/>
    <w:rsid w:val="005E65F0"/>
    <w:rsid w:val="005E6697"/>
    <w:rsid w:val="00630690"/>
    <w:rsid w:val="00643AD3"/>
    <w:rsid w:val="00675397"/>
    <w:rsid w:val="00697E56"/>
    <w:rsid w:val="006B446F"/>
    <w:rsid w:val="006C65BB"/>
    <w:rsid w:val="006E630B"/>
    <w:rsid w:val="007124F9"/>
    <w:rsid w:val="007132D8"/>
    <w:rsid w:val="00727958"/>
    <w:rsid w:val="007516E5"/>
    <w:rsid w:val="007C5A7F"/>
    <w:rsid w:val="007C6093"/>
    <w:rsid w:val="00832535"/>
    <w:rsid w:val="00832F67"/>
    <w:rsid w:val="00867EFA"/>
    <w:rsid w:val="00895394"/>
    <w:rsid w:val="008A0CC0"/>
    <w:rsid w:val="008A10CF"/>
    <w:rsid w:val="008D7ED5"/>
    <w:rsid w:val="008F5322"/>
    <w:rsid w:val="00940C28"/>
    <w:rsid w:val="0094271D"/>
    <w:rsid w:val="0094515B"/>
    <w:rsid w:val="0096440D"/>
    <w:rsid w:val="009947DF"/>
    <w:rsid w:val="009B331B"/>
    <w:rsid w:val="009C3B33"/>
    <w:rsid w:val="009D0D8C"/>
    <w:rsid w:val="009E0C76"/>
    <w:rsid w:val="00A12188"/>
    <w:rsid w:val="00A23EC6"/>
    <w:rsid w:val="00A37DA4"/>
    <w:rsid w:val="00A52E17"/>
    <w:rsid w:val="00A56C8B"/>
    <w:rsid w:val="00AB1EF4"/>
    <w:rsid w:val="00AB2F05"/>
    <w:rsid w:val="00AB43DD"/>
    <w:rsid w:val="00AF6AD4"/>
    <w:rsid w:val="00B17064"/>
    <w:rsid w:val="00B263D4"/>
    <w:rsid w:val="00B27A03"/>
    <w:rsid w:val="00B35620"/>
    <w:rsid w:val="00B35ED8"/>
    <w:rsid w:val="00B75ADF"/>
    <w:rsid w:val="00BA6163"/>
    <w:rsid w:val="00BC5A2A"/>
    <w:rsid w:val="00BE2E7E"/>
    <w:rsid w:val="00BE46C5"/>
    <w:rsid w:val="00C514E7"/>
    <w:rsid w:val="00C62F28"/>
    <w:rsid w:val="00CA13F4"/>
    <w:rsid w:val="00CE724F"/>
    <w:rsid w:val="00D1748E"/>
    <w:rsid w:val="00DD1F53"/>
    <w:rsid w:val="00DF536A"/>
    <w:rsid w:val="00E151D4"/>
    <w:rsid w:val="00E21363"/>
    <w:rsid w:val="00E34557"/>
    <w:rsid w:val="00E47459"/>
    <w:rsid w:val="00E529CE"/>
    <w:rsid w:val="00E74DE5"/>
    <w:rsid w:val="00EA667C"/>
    <w:rsid w:val="00ED5903"/>
    <w:rsid w:val="00EE38FC"/>
    <w:rsid w:val="00EF78C1"/>
    <w:rsid w:val="00F26BB1"/>
    <w:rsid w:val="00F30035"/>
    <w:rsid w:val="00F4159E"/>
    <w:rsid w:val="00F54234"/>
    <w:rsid w:val="00F71268"/>
    <w:rsid w:val="00FB05C9"/>
    <w:rsid w:val="00FC4C6B"/>
    <w:rsid w:val="00FD3E96"/>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37858">
      <w:bodyDiv w:val="1"/>
      <w:marLeft w:val="0"/>
      <w:marRight w:val="0"/>
      <w:marTop w:val="0"/>
      <w:marBottom w:val="0"/>
      <w:divBdr>
        <w:top w:val="none" w:sz="0" w:space="0" w:color="auto"/>
        <w:left w:val="none" w:sz="0" w:space="0" w:color="auto"/>
        <w:bottom w:val="none" w:sz="0" w:space="0" w:color="auto"/>
        <w:right w:val="none" w:sz="0" w:space="0" w:color="auto"/>
      </w:divBdr>
      <w:divsChild>
        <w:div w:id="1615822215">
          <w:marLeft w:val="0"/>
          <w:marRight w:val="0"/>
          <w:marTop w:val="0"/>
          <w:marBottom w:val="0"/>
          <w:divBdr>
            <w:top w:val="none" w:sz="0" w:space="0" w:color="auto"/>
            <w:left w:val="none" w:sz="0" w:space="0" w:color="auto"/>
            <w:bottom w:val="none" w:sz="0" w:space="0" w:color="auto"/>
            <w:right w:val="none" w:sz="0" w:space="0" w:color="auto"/>
          </w:divBdr>
        </w:div>
        <w:div w:id="1085566656">
          <w:marLeft w:val="0"/>
          <w:marRight w:val="0"/>
          <w:marTop w:val="0"/>
          <w:marBottom w:val="0"/>
          <w:divBdr>
            <w:top w:val="none" w:sz="0" w:space="0" w:color="auto"/>
            <w:left w:val="none" w:sz="0" w:space="0" w:color="auto"/>
            <w:bottom w:val="none" w:sz="0" w:space="0" w:color="auto"/>
            <w:right w:val="none" w:sz="0" w:space="0" w:color="auto"/>
          </w:divBdr>
        </w:div>
        <w:div w:id="198353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1082</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5</cp:revision>
  <cp:lastPrinted>2017-06-23T18:17:00Z</cp:lastPrinted>
  <dcterms:created xsi:type="dcterms:W3CDTF">2017-10-18T19:59:00Z</dcterms:created>
  <dcterms:modified xsi:type="dcterms:W3CDTF">2018-02-13T16:33:00Z</dcterms:modified>
</cp:coreProperties>
</file>